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C0FF">
      <w:pPr>
        <w:spacing w:line="264" w:lineRule="auto"/>
        <w:rPr>
          <w:rFonts w:ascii="Arial"/>
          <w:sz w:val="21"/>
        </w:rPr>
      </w:pPr>
    </w:p>
    <w:p w14:paraId="34BDEAF3">
      <w:pPr>
        <w:spacing w:line="264" w:lineRule="auto"/>
        <w:rPr>
          <w:rFonts w:ascii="Arial"/>
          <w:sz w:val="21"/>
        </w:rPr>
      </w:pPr>
    </w:p>
    <w:p w14:paraId="7D130E29">
      <w:pPr>
        <w:spacing w:line="264" w:lineRule="auto"/>
        <w:rPr>
          <w:rFonts w:ascii="Arial"/>
          <w:sz w:val="21"/>
        </w:rPr>
      </w:pPr>
    </w:p>
    <w:p w14:paraId="575D4748">
      <w:pPr>
        <w:spacing w:line="264" w:lineRule="auto"/>
        <w:rPr>
          <w:rFonts w:ascii="Arial"/>
          <w:sz w:val="21"/>
        </w:rPr>
      </w:pPr>
    </w:p>
    <w:p w14:paraId="47CE3E58">
      <w:pPr>
        <w:spacing w:line="264" w:lineRule="auto"/>
        <w:rPr>
          <w:rFonts w:ascii="Arial"/>
          <w:sz w:val="21"/>
        </w:rPr>
      </w:pPr>
    </w:p>
    <w:p w14:paraId="6A02B5E7">
      <w:pPr>
        <w:spacing w:line="264" w:lineRule="auto"/>
        <w:rPr>
          <w:rFonts w:ascii="Arial"/>
          <w:sz w:val="21"/>
        </w:rPr>
      </w:pPr>
    </w:p>
    <w:p w14:paraId="12A9445A">
      <w:pPr>
        <w:spacing w:line="264" w:lineRule="auto"/>
        <w:rPr>
          <w:rFonts w:ascii="Arial"/>
          <w:sz w:val="21"/>
        </w:rPr>
      </w:pPr>
    </w:p>
    <w:p w14:paraId="211487BB">
      <w:pPr>
        <w:spacing w:line="264" w:lineRule="auto"/>
        <w:rPr>
          <w:rFonts w:ascii="Arial"/>
          <w:sz w:val="21"/>
        </w:rPr>
      </w:pPr>
    </w:p>
    <w:p w14:paraId="7D292C75">
      <w:pPr>
        <w:spacing w:line="264" w:lineRule="auto"/>
        <w:rPr>
          <w:rFonts w:ascii="Arial"/>
          <w:sz w:val="21"/>
        </w:rPr>
      </w:pPr>
    </w:p>
    <w:p w14:paraId="697AD469">
      <w:pPr>
        <w:spacing w:before="266" w:line="219" w:lineRule="auto"/>
        <w:jc w:val="right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b/>
          <w:bCs/>
          <w:color w:val="FC5F79"/>
          <w:spacing w:val="-57"/>
          <w:w w:val="70"/>
          <w:sz w:val="82"/>
          <w:szCs w:val="82"/>
        </w:rPr>
        <w:t>江西省发</w:t>
      </w:r>
      <w:r>
        <w:rPr>
          <w:rFonts w:ascii="宋体" w:hAnsi="宋体" w:eastAsia="宋体" w:cs="宋体"/>
          <w:b/>
          <w:bCs/>
          <w:color w:val="FC5F79"/>
          <w:spacing w:val="-56"/>
          <w:w w:val="70"/>
          <w:sz w:val="82"/>
          <w:szCs w:val="82"/>
        </w:rPr>
        <w:t>展和改革委员会办公室文</w:t>
      </w:r>
      <w:r>
        <w:rPr>
          <w:rFonts w:ascii="宋体" w:hAnsi="宋体" w:eastAsia="宋体" w:cs="宋体"/>
          <w:b/>
          <w:bCs/>
          <w:color w:val="FC5F79"/>
          <w:spacing w:val="-36"/>
          <w:w w:val="70"/>
          <w:sz w:val="82"/>
          <w:szCs w:val="82"/>
        </w:rPr>
        <w:t>件</w:t>
      </w:r>
    </w:p>
    <w:p w14:paraId="5765CCB4">
      <w:pPr>
        <w:spacing w:line="284" w:lineRule="auto"/>
        <w:rPr>
          <w:rFonts w:ascii="Arial"/>
          <w:sz w:val="21"/>
        </w:rPr>
      </w:pPr>
    </w:p>
    <w:p w14:paraId="4AECCE75">
      <w:pPr>
        <w:spacing w:line="284" w:lineRule="auto"/>
        <w:rPr>
          <w:rFonts w:ascii="Arial"/>
          <w:sz w:val="21"/>
        </w:rPr>
      </w:pPr>
    </w:p>
    <w:p w14:paraId="7295E45C">
      <w:pPr>
        <w:spacing w:line="284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FA739BB">
      <w:pPr>
        <w:pStyle w:val="2"/>
        <w:spacing w:before="105" w:line="223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赣发改办财金〔2024〕84号</w:t>
      </w:r>
    </w:p>
    <w:p w14:paraId="6A49F10E">
      <w:pPr>
        <w:spacing w:before="171" w:line="60" w:lineRule="exact"/>
      </w:pPr>
      <w:r>
        <w:rPr>
          <w:position w:val="-1"/>
        </w:rPr>
        <w:drawing>
          <wp:inline distT="0" distB="0" distL="0" distR="0">
            <wp:extent cx="54927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2783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99D7">
      <w:pPr>
        <w:spacing w:line="315" w:lineRule="auto"/>
        <w:rPr>
          <w:rFonts w:ascii="Arial"/>
          <w:sz w:val="21"/>
        </w:rPr>
      </w:pPr>
    </w:p>
    <w:p w14:paraId="199F4C86">
      <w:pPr>
        <w:spacing w:line="316" w:lineRule="auto"/>
        <w:jc w:val="both"/>
        <w:rPr>
          <w:rFonts w:ascii="Arial"/>
          <w:sz w:val="44"/>
          <w:szCs w:val="44"/>
        </w:rPr>
      </w:pPr>
    </w:p>
    <w:p w14:paraId="4077E2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29"/>
          <w:sz w:val="44"/>
          <w:szCs w:val="44"/>
        </w:rPr>
        <w:t>江西省发展改革委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29"/>
          <w:sz w:val="44"/>
          <w:szCs w:val="44"/>
          <w:lang w:eastAsia="zh-CN"/>
        </w:rPr>
        <w:t>办公室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29"/>
          <w:sz w:val="44"/>
          <w:szCs w:val="44"/>
        </w:rPr>
        <w:t>关于做好创业投资与创新创业项目对接工作的通知</w:t>
      </w:r>
    </w:p>
    <w:p w14:paraId="362215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ascii="Arial"/>
          <w:sz w:val="32"/>
          <w:szCs w:val="32"/>
        </w:rPr>
      </w:pPr>
    </w:p>
    <w:p w14:paraId="3CA48F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6B96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w w:val="90"/>
          <w:sz w:val="32"/>
          <w:szCs w:val="32"/>
        </w:rPr>
        <w:t>省科技厅、省教育厅，各设区市发展改革委、赣江新区经发局：</w:t>
      </w:r>
    </w:p>
    <w:p w14:paraId="0FEFA1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根据国家发展改革委办公厅《关于做好创业投资与创新创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业项目对接工作的通知》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发改办财金〔2024〕670 号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现开展创业投资与创新创业项目对接工作。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具体要求如下：</w:t>
      </w:r>
    </w:p>
    <w:p w14:paraId="4AF0BF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9" w:firstLineChars="200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6"/>
          <w:sz w:val="32"/>
          <w:szCs w:val="32"/>
        </w:rPr>
        <w:t>一、总体考虑</w:t>
      </w:r>
    </w:p>
    <w:p w14:paraId="79E463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5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工作思路。坚持“统筹联动、因地制宜，市场运作，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自愿对接”原则，充分发挥好发展改革委作为宏观部门和创业投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>资发展政策牵头制定部门作用，加强部门之间、政府与市场机构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之间的统筹协调联动，持续强化对国家重大战略、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科技创新的股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权融资支持，坚持投早、投小、投长期、投硬科技投资方向，加大早期科创项目培育和项目资源储备，加大创新创业企业和科技成果转化项目与长期耐心资本对接，探索打造支持科技型企业的全生命周期服务。</w:t>
      </w:r>
    </w:p>
    <w:p w14:paraId="5FB28B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工作任务。国家发展改革委会同各地发展改革委，组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建创业投资机构库和创新创业项目库，组织符合条件的创业投资企业、天使投资人、政府投资基金及其他符合条件的私募股权投资机构，以及创新创业企业和科技成果转化项目等分别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入库，汇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集和展示创业投资企业和创新创业项目信息，供双方按照市场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化、法治化原则，独立评审、自主决策、自主选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择、自愿对接。</w:t>
      </w:r>
    </w:p>
    <w:p w14:paraId="3872C6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3" w:firstLineChars="200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5"/>
          <w:sz w:val="32"/>
          <w:szCs w:val="32"/>
        </w:rPr>
        <w:t>二、工作安排</w:t>
      </w:r>
    </w:p>
    <w:p w14:paraId="0AA00B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创新创业企业和科技成果转化项目组织、评估、推送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、对接等工作，依托全国融资信用服务平台“创业投资项目对接”系统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"https://xyd.greditichina.gov.cn"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</w:rPr>
        <w:t>xyd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greditichina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gov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以下简称系统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具体工作安排如下。</w:t>
      </w:r>
    </w:p>
    <w:p w14:paraId="1B28E9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项目组织。请省科技厅、省教育厅持续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组织动员符合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要求的具有创业投资需求的科技成果转化项目自愿申报。请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各设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区市发展改革委、赣江新区经发局做好辖区政策宣贯工作，加强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与科技、工信、人力资源社会保障、金融监管等相关部门之间的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协调配合，结合本地产业优势，积极开展项目培育，持续组织动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员符合要求的具有创业投资需求的初创期、种子期、早中期创新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创业企业和科技成果转化项目自愿申报。相关企业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应为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市场化、可公开、非涉密、非敏感。</w:t>
      </w:r>
    </w:p>
    <w:p w14:paraId="781DB8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创新创业企业指处于创建或重建过程中的未上市成长性创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业企业、科技型企业及专精特新中小企业等。</w:t>
      </w:r>
    </w:p>
    <w:p w14:paraId="6888B9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科技成果转化项目指有关科研开发机构、大专院校、企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业和个人等开发的具有较高产业化前景、具有较大天使投资和创业投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资需求的项目。</w:t>
      </w:r>
    </w:p>
    <w:p w14:paraId="6E7FD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信息填报。请省科技厅、省教育厅指导省属科研院所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和大专院校在系统如实填报相关企业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信息。各设区市发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展改革委、赣江新区经发局对申报企业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进行初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步审核，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对符合产业政策导向的企业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指导其在系统如实填报相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关企业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具体要求见附件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。企业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信息由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重大变化的，要督促其及时更新填报信息。我委将对项目信息进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行复核，复核通过后转报国家。各地要严格落实《中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共中央、国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务院关于促进民营经济发展壮大的意见》有关要求，对国有企业、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民营企业和外资企业等各类所有制企业一视同仁、平等对待。</w:t>
      </w:r>
    </w:p>
    <w:p w14:paraId="307B78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项目入库。国家将对申报企业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的信用信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息进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行审核。对未列入严重失信主体名单的相关企业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创新创业项目库并在系统上展示相关信息。对列入严重失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信主体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名单的相关企业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退回申报地，发现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存在多次虚假申报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的企业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将进行通报，并通过系统予以公示。入库企业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主动要求退出系统的，应及时予以退出。</w:t>
      </w:r>
    </w:p>
    <w:p w14:paraId="36F7C0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项目对接。入库企业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与在国家发展改革委创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业投资企业备案管理系统备案并年检合格的相关创业投资机构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及符合条件的天使投资人、市场化股权投资机构、政府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投资基金、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并购基金等，可分别在系统在线查询相关信息，按照市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场化原则，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自愿自主开展对接。</w:t>
      </w:r>
    </w:p>
    <w:p w14:paraId="32CD84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鼓励各地因地制宜开展形式多样、主体多元、跨区域、跨行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业的项目对接活动，并根据本地区实际情况和产业优势，出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台相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应支持政策加快培育创新创业项目，提升对接效率。</w:t>
      </w:r>
    </w:p>
    <w:p w14:paraId="007D39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9" w:firstLineChars="200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6"/>
          <w:sz w:val="32"/>
          <w:szCs w:val="32"/>
        </w:rPr>
        <w:t>三、工作要求</w:t>
      </w:r>
    </w:p>
    <w:p w14:paraId="7422A5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各设区市发展改革委、赣江新区经发局要加强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政策宣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贯力度，广泛开展组织动员，加强与部门协调配合，开展企业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培育、筛选、系统填报工作，有效推进创业投资与创新创业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项目对接。加强对入库创新创业企业和科技成果转化项目的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跟踪评估，组织相关主体及时通过系统更新项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目对接结果信息。</w:t>
      </w:r>
    </w:p>
    <w:p w14:paraId="74E116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各地创新创业企业和科技成果转化项目权利人对填报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信息的真实性负责，对虚假填报情节严重的，将通过系统予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以公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示。各设区市发展改革委、赣江新区经发局要履行监督责任，加强信息监管与保密工作。</w:t>
      </w:r>
    </w:p>
    <w:p w14:paraId="2880ED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各设区市发展改革委、赣江新区经发局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每年应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至少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织一次创业投资企业与创新创业项目对接活动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可跨区域联合举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并于年底前提交本地区创投企业和创新创业项目对接工作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年度报告。</w:t>
      </w:r>
    </w:p>
    <w:p w14:paraId="3D706A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全国融资信用服务平台“创业投资项目对接”系统将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于2024年9月30日正式上线，第一批创新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创业企业和科技成果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转化项目信息应于2024年10月15日前组织填报完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毕。</w:t>
      </w:r>
    </w:p>
    <w:p w14:paraId="19454C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联系人：胡安捷0791-88915168</w:t>
      </w:r>
    </w:p>
    <w:p w14:paraId="059BB7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B5DB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9F72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附件：创新创业企业和科技成果转化项目填报信息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样表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）</w:t>
      </w:r>
    </w:p>
    <w:p w14:paraId="0CA3B2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3A2A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EF23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20" w:h="16840"/>
          <w:pgMar w:top="1431" w:right="1653" w:bottom="1928" w:left="1780" w:header="0" w:footer="1632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-756920</wp:posOffset>
            </wp:positionV>
            <wp:extent cx="1454150" cy="14605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4118" cy="146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>2024年9月12日</w:t>
      </w:r>
    </w:p>
    <w:p w14:paraId="5F60EA75">
      <w:pPr>
        <w:spacing w:before="104" w:line="224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附件</w:t>
      </w:r>
    </w:p>
    <w:p w14:paraId="36F8EA38">
      <w:pPr>
        <w:spacing w:line="27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15F3F1">
      <w:pPr>
        <w:spacing w:before="117" w:line="21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</w:rPr>
        <w:t>创新创业企业和科技成果转化项目填报信息</w:t>
      </w:r>
    </w:p>
    <w:p w14:paraId="01A9A72D">
      <w:pPr>
        <w:spacing w:before="117" w:line="219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</w:rPr>
        <w:t>样表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5"/>
          <w:sz w:val="44"/>
          <w:szCs w:val="44"/>
          <w:lang w:eastAsia="zh-CN"/>
        </w:rPr>
        <w:t>）</w:t>
      </w:r>
    </w:p>
    <w:p w14:paraId="4578A830">
      <w:pPr>
        <w:spacing w:line="32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DAA25E">
      <w:pPr>
        <w:spacing w:before="104" w:line="223" w:lineRule="auto"/>
        <w:ind w:left="64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5"/>
          <w:sz w:val="32"/>
          <w:szCs w:val="32"/>
        </w:rPr>
        <w:t>一、基本情况</w:t>
      </w:r>
    </w:p>
    <w:p w14:paraId="553C8E68">
      <w:pPr>
        <w:pStyle w:val="2"/>
        <w:spacing w:before="160" w:line="317" w:lineRule="auto"/>
        <w:ind w:left="639" w:right="36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1.企业名称及统一社会信用代码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2.法定代表人</w:t>
      </w:r>
    </w:p>
    <w:p w14:paraId="178D2864">
      <w:pPr>
        <w:pStyle w:val="2"/>
        <w:spacing w:before="21" w:line="221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3.成立时间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所处阶段：种子期、初创期、早中期、成熟期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）</w:t>
      </w:r>
    </w:p>
    <w:p w14:paraId="5D74728B">
      <w:pPr>
        <w:pStyle w:val="2"/>
        <w:spacing w:before="187" w:line="325" w:lineRule="auto"/>
        <w:ind w:left="639" w:right="643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4.注册资本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5.实缴资本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6.所属行业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7.企业地址</w:t>
      </w:r>
    </w:p>
    <w:p w14:paraId="4B220B61">
      <w:pPr>
        <w:pStyle w:val="2"/>
        <w:spacing w:before="3" w:line="320" w:lineRule="auto"/>
        <w:ind w:left="639" w:right="40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8.公司网站及公众号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9.联系人及联系方式</w:t>
      </w:r>
    </w:p>
    <w:p w14:paraId="7A11DE37">
      <w:pPr>
        <w:pStyle w:val="2"/>
        <w:spacing w:before="38" w:line="222" w:lineRule="auto"/>
        <w:ind w:left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10.通过系统实现对接创业企业家数、投资笔数、投资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金融</w:t>
      </w:r>
    </w:p>
    <w:p w14:paraId="3D3DBFB7">
      <w:pPr>
        <w:spacing w:before="161" w:line="222" w:lineRule="auto"/>
        <w:ind w:left="64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二、创始人及团队情况</w:t>
      </w:r>
    </w:p>
    <w:p w14:paraId="1FD52116">
      <w:pPr>
        <w:pStyle w:val="2"/>
        <w:spacing w:before="177" w:line="312" w:lineRule="auto"/>
        <w:ind w:left="639" w:right="12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1.团队核心成员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创始人及联合创始人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履历简介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2.股权情况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如果有股份代持情况，请说明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）</w:t>
      </w:r>
    </w:p>
    <w:p w14:paraId="32F12953">
      <w:pPr>
        <w:pStyle w:val="2"/>
        <w:spacing w:before="57" w:line="221" w:lineRule="auto"/>
        <w:ind w:left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3.其他团队骨干及简介</w:t>
      </w:r>
    </w:p>
    <w:p w14:paraId="5E9E9361">
      <w:pPr>
        <w:pStyle w:val="2"/>
        <w:spacing w:before="143" w:line="320" w:lineRule="auto"/>
        <w:ind w:left="639" w:right="343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4.发展历程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主要里程碑和成就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5.愿景和使命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如果有，请阐述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</w:p>
    <w:p w14:paraId="12652610">
      <w:pPr>
        <w:spacing w:before="13" w:line="221" w:lineRule="auto"/>
        <w:ind w:left="64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  <w:sectPr>
          <w:footerReference r:id="rId6" w:type="default"/>
          <w:pgSz w:w="11940" w:h="16840"/>
          <w:pgMar w:top="1431" w:right="1511" w:bottom="1904" w:left="1791" w:header="0" w:footer="1587" w:gutter="0"/>
          <w:pgNumType w:fmt="decimal"/>
          <w:cols w:space="720" w:num="1"/>
        </w:sect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三、产品与服务</w:t>
      </w:r>
    </w:p>
    <w:p w14:paraId="2B78EF75">
      <w:pPr>
        <w:pStyle w:val="2"/>
        <w:spacing w:before="104" w:line="222" w:lineRule="auto"/>
        <w:ind w:firstLine="59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1.主要产品/服务</w:t>
      </w:r>
    </w:p>
    <w:p w14:paraId="49A92DAA">
      <w:pPr>
        <w:pStyle w:val="2"/>
        <w:spacing w:before="175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2.技术优势或创新点</w:t>
      </w:r>
    </w:p>
    <w:p w14:paraId="0CEC9A62">
      <w:pPr>
        <w:pStyle w:val="2"/>
        <w:spacing w:before="181" w:line="221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3.关键创新点是否有专利或其他形式的知识产权保护</w:t>
      </w:r>
    </w:p>
    <w:p w14:paraId="1016D7F3">
      <w:pPr>
        <w:spacing w:before="64" w:line="221" w:lineRule="auto"/>
        <w:ind w:left="573"/>
        <w:outlineLvl w:val="0"/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市场</w:t>
      </w:r>
    </w:p>
    <w:p w14:paraId="01F6AEC3">
      <w:pPr>
        <w:pStyle w:val="2"/>
        <w:spacing w:before="190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目标市场定位</w:t>
      </w:r>
    </w:p>
    <w:p w14:paraId="433DFF15">
      <w:pPr>
        <w:pStyle w:val="2"/>
        <w:spacing w:before="188" w:line="313" w:lineRule="auto"/>
        <w:ind w:left="568" w:right="408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目标市场大小、增长趋势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3.收入来源结构或盈利模式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4.市场竞争优势</w:t>
      </w:r>
    </w:p>
    <w:p w14:paraId="06B536C4">
      <w:pPr>
        <w:pStyle w:val="2"/>
        <w:spacing w:before="59" w:line="301" w:lineRule="auto"/>
        <w:ind w:left="568" w:right="22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5.列举主要竞争对手并做优劣势比较分析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6.主要客户和合作伙伴</w:t>
      </w:r>
    </w:p>
    <w:p w14:paraId="2266E45E">
      <w:pPr>
        <w:spacing w:before="64" w:line="221" w:lineRule="auto"/>
        <w:ind w:left="57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五、财务情况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</w:rPr>
        <w:t>科技成果转化项目根据实际情况选填</w:t>
      </w: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eastAsia="zh-CN"/>
        </w:rPr>
        <w:t>）</w:t>
      </w:r>
    </w:p>
    <w:p w14:paraId="10332992">
      <w:pPr>
        <w:pStyle w:val="2"/>
        <w:spacing w:before="202" w:line="314" w:lineRule="auto"/>
        <w:ind w:left="568" w:right="234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1.财务状况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过去三年收入、利润情况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2.财务预测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收入增长率、毛利率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）</w:t>
      </w:r>
    </w:p>
    <w:p w14:paraId="79D1DE7D">
      <w:pPr>
        <w:pStyle w:val="2"/>
        <w:spacing w:before="29" w:line="221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3.负债情况</w:t>
      </w:r>
    </w:p>
    <w:p w14:paraId="3E2C180C">
      <w:pPr>
        <w:pStyle w:val="2"/>
        <w:spacing w:before="190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4.应收账款和应付账款情况</w:t>
      </w:r>
    </w:p>
    <w:p w14:paraId="5A7E00CD">
      <w:pPr>
        <w:pStyle w:val="2"/>
        <w:spacing w:before="168" w:line="313" w:lineRule="auto"/>
        <w:ind w:left="568" w:right="10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5.融资历史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融资轮次、投资额、投资人、估值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6.融资需求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融资轮次、融资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金融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、预期估值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</w:t>
      </w:r>
    </w:p>
    <w:p w14:paraId="69DEC815">
      <w:pPr>
        <w:pStyle w:val="2"/>
        <w:spacing w:before="42" w:line="222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7.融资资金使用用途</w:t>
      </w:r>
    </w:p>
    <w:p w14:paraId="467B6A9A">
      <w:pPr>
        <w:spacing w:before="183" w:line="222" w:lineRule="auto"/>
        <w:ind w:left="573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</w:rPr>
        <w:t>六、法律与合规</w:t>
      </w:r>
    </w:p>
    <w:p w14:paraId="44B0739A">
      <w:pPr>
        <w:pStyle w:val="2"/>
        <w:spacing w:before="163" w:line="219" w:lineRule="auto"/>
        <w:ind w:left="5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1.是否存在诉讼，如有请说明</w:t>
      </w:r>
    </w:p>
    <w:p w14:paraId="474A8B4F">
      <w:pPr>
        <w:pStyle w:val="2"/>
        <w:spacing w:before="180" w:line="301" w:lineRule="auto"/>
        <w:ind w:left="568" w:right="255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7" w:type="default"/>
          <w:pgSz w:w="11940" w:h="16840"/>
          <w:pgMar w:top="1431" w:right="1791" w:bottom="1992" w:left="1791" w:header="0" w:footer="1677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2.是否存在对外担保事项，如有请说明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3.是否存在股权质押事项，如有请说明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  </w:t>
      </w:r>
    </w:p>
    <w:p w14:paraId="036AC197">
      <w:pPr>
        <w:pStyle w:val="2"/>
        <w:spacing w:before="101" w:line="222" w:lineRule="auto"/>
        <w:ind w:firstLine="68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4.知识产权情况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专利、商标、版权等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</w:p>
    <w:p w14:paraId="304CB6E7">
      <w:pPr>
        <w:spacing w:before="147" w:line="322" w:lineRule="auto"/>
        <w:ind w:left="599" w:right="128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</w:rPr>
        <w:t>七、投资亮点总结</w:t>
      </w: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</w:rPr>
        <w:t>公司的独特优势和投资价值</w:t>
      </w: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pacing w:val="1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八</w:t>
      </w:r>
      <w:r>
        <w:rPr>
          <w:rFonts w:hint="eastAsia" w:ascii="黑体" w:hAnsi="黑体" w:eastAsia="黑体" w:cs="黑体"/>
          <w:b w:val="0"/>
          <w:bCs w:val="0"/>
          <w:spacing w:val="-4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、附件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</w:rPr>
        <w:t>如有</w:t>
      </w:r>
      <w:r>
        <w:rPr>
          <w:rFonts w:hint="eastAsia" w:ascii="黑体" w:hAnsi="黑体" w:eastAsia="黑体" w:cs="黑体"/>
          <w:b w:val="0"/>
          <w:bCs w:val="0"/>
          <w:spacing w:val="13"/>
          <w:sz w:val="32"/>
          <w:szCs w:val="32"/>
          <w:lang w:eastAsia="zh-CN"/>
        </w:rPr>
        <w:t>）</w:t>
      </w:r>
    </w:p>
    <w:p w14:paraId="56D468E4">
      <w:pPr>
        <w:pStyle w:val="2"/>
        <w:spacing w:before="22" w:line="221" w:lineRule="auto"/>
        <w:ind w:left="5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1.详细的商业计划书</w:t>
      </w:r>
    </w:p>
    <w:p w14:paraId="256719F9">
      <w:pPr>
        <w:pStyle w:val="2"/>
        <w:spacing w:before="192" w:line="223" w:lineRule="auto"/>
        <w:ind w:left="5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2.产品演示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产品演示视频或文稿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</w:p>
    <w:p w14:paraId="3F5DC710">
      <w:pPr>
        <w:spacing w:line="32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A4B481">
      <w:pPr>
        <w:pStyle w:val="2"/>
        <w:spacing w:before="102" w:line="219" w:lineRule="auto"/>
        <w:ind w:left="5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注：科技成果转化项目根据实际情况选填相关项目</w:t>
      </w:r>
    </w:p>
    <w:p w14:paraId="30FA86C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E66DF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6E5FD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57052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9BE8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0EFED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8DC34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06D53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4D169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B13DF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935E3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11FEF9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727CA4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A26E3F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27BF7A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967965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6C0E1E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CFF1DC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1EEE25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C55AEE8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93196F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713B1A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7D43FE">
      <w:pPr>
        <w:spacing w:line="24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215265</wp:posOffset>
                </wp:positionV>
                <wp:extent cx="5536565" cy="11430"/>
                <wp:effectExtent l="0" t="4445" r="6985" b="127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3310" y="10033635"/>
                          <a:ext cx="5536565" cy="11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5pt;margin-top:16.95pt;height:0.9pt;width:435.95pt;z-index:251660288;mso-width-relative:page;mso-height-relative:page;" filled="f" stroked="t" coordsize="21600,21600" o:gfxdata="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Q/P/bAAAACAEAAA8AAAAAAAAAAQAgAAAAIgAAAGRycy9kb3ducmV2LnhtbFBLAQIU&#10;ABQAAAAIAIdO4kBgql7O8AEAALcDAAAOAAAAAAAAAAEAIAAAACoBAABkcnMvZTJvRG9jLnhtbFBL&#10;BQYAAAAABgAGAFkBAACM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6F1696BE"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7E0682">
      <w:pPr>
        <w:pStyle w:val="2"/>
        <w:spacing w:before="102" w:line="219" w:lineRule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344170</wp:posOffset>
                </wp:positionV>
                <wp:extent cx="5536565" cy="11430"/>
                <wp:effectExtent l="0" t="4445" r="6985" b="127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6565" cy="11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pt;margin-top:27.1pt;height:0.9pt;width:435.95pt;z-index:251662336;mso-width-relative:page;mso-height-relative:page;" filled="f" stroked="t" coordsize="21600,21600" o:gfxdata="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9pH79oA&#10;AAAIAQAADwAAAAAAAAABACAAAAAiAAAAZHJzL2Rvd25yZXYueG1sUEsBAhQAFAAAAAgAh07iQPxJ&#10;F1PkAQAAqgMAAA4AAAAAAAAAAQAgAAAAKQEAAGRycy9lMm9Eb2MueG1sUEsFBgAAAAAGAAYAWQEA&#10;AH8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江西省发展改革委办公室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  2024年9月13日印发</w:t>
      </w:r>
    </w:p>
    <w:sectPr>
      <w:footerReference r:id="rId8" w:type="default"/>
      <w:pgSz w:w="11940" w:h="16820"/>
      <w:pgMar w:top="1429" w:right="1620" w:bottom="400" w:left="175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F5A2ED-7550-4AB3-8AA1-390188345E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AAC0D5-CDA2-49F1-AE2C-3D5FD8571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2C572E-B1C8-494B-9A2B-72E0B8B8B9B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EFBD292-08D1-4271-A64D-0252335C00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964D6">
    <w:pPr>
      <w:spacing w:line="175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FFB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CFFB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8573A">
    <w:pPr>
      <w:spacing w:line="177" w:lineRule="auto"/>
      <w:ind w:left="418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83B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D83B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3FE0">
    <w:pPr>
      <w:tabs>
        <w:tab w:val="left" w:pos="5332"/>
        <w:tab w:val="left" w:pos="5876"/>
      </w:tabs>
      <w:spacing w:before="1" w:line="175" w:lineRule="auto"/>
      <w:rPr>
        <w:rFonts w:ascii="宋体" w:hAnsi="宋体" w:eastAsia="宋体" w:cs="宋体"/>
        <w:sz w:val="36"/>
        <w:szCs w:val="36"/>
      </w:rPr>
    </w:pPr>
    <w:r>
      <w:rPr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B021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B021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36"/>
        <w:szCs w:val="36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7750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3EF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3EF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2MjQ1ODc4MTM2NzQzMzQ5YWZmYjE3YjMyZWI2NjUifQ=="/>
  </w:docVars>
  <w:rsids>
    <w:rsidRoot w:val="00000000"/>
    <w:rsid w:val="404E6A8B"/>
    <w:rsid w:val="7CD30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2633</Words>
  <Characters>2739</Characters>
  <TotalTime>120</TotalTime>
  <ScaleCrop>false</ScaleCrop>
  <LinksUpToDate>false</LinksUpToDate>
  <CharactersWithSpaces>2780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2024-09-23T09:14:00Z</dcterms:created>
  <dc:creator>Kingsoft-PDF</dc:creator>
  <cp:lastModifiedBy>赵琦志</cp:lastModifiedBy>
  <cp:lastPrinted>2024-09-23T06:55:04Z</cp:lastPrinted>
  <dcterms:modified xsi:type="dcterms:W3CDTF">2024-09-23T06:56:45Z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2024-09-23T09:14:38Z</vt:filetime>
  </property>
  <property fmtid="{D5CDD505-2E9C-101B-9397-08002B2CF9AE}" pid="4" name="UsrData">
    <vt:lpwstr>66f0c0fbef774f001f5bb85awl</vt:lpwstr>
  </property>
  <property fmtid="{D5CDD505-2E9C-101B-9397-08002B2CF9AE}" pid="5" name="KSOProductBuildVer">
    <vt:lpwstr>2052-12.1.0.17857</vt:lpwstr>
  </property>
  <property fmtid="{D5CDD505-2E9C-101B-9397-08002B2CF9AE}" pid="6" name="ICV">
    <vt:lpwstr>A8922E33879E445BB8D6BC289652CD57_12</vt:lpwstr>
  </property>
</Properties>
</file>